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ac2659f8b48d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37742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I JASLICE ZLATARSKO ZLATO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170.868,78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200.750,34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230.850,78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198.628,94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Dječjeg vrtića Zlatarsko zlato ostvareni u razdoblju od 1. siječnja od 31. ožujka 2026. godine iznosili su 200.750,34 €, odnosno 17,5% ili 29.881,56 € više nego prethodne 2025. godine. Na rast prihoda u promatranom razdoblju utjecalo je povećanje prihoda iz nadležnog proračuna za financiranje redovne djelatnosti proračunskih korisnika. Ukupni rashodi su iznosili 198.628,94 € što je za 14 % ili 32.221,84 € manje rashoda nego prošle godine. Rashodi poslovanja su se smanjili, a na to su utjecali smanjenje rashoda za plaće zaposlenika, doprinosa na plaće, naknada troškova zaposlenima te smanjenje rashoda za materijal i energiju. Ostvaren je višak prihoda u iznosu od 2.121,40 €. Manjak prihoda iz prethodnog razdoblja iznosi 43.358,46 €, tako da se u sljedeće razdoblje prenosi manjak u iznosu od 41.237,06 €.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170.868,78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200.750,34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Prihodi poslovanja Dječjeg vrtića Zlatarsko zlato ostvareni u razdoblju od 1. siječnja od 31. ožujka 2026. godine iznosili su 200.750,34 €, odnosno 17,5% više nego prethodne 2025. godine. Na rast prihoda poslovanja u promatranom razdoblju najvećim je dijelom utjecalo povećanje prihoda iz nadležnog proračuna za financiranje redovne djelatnosti proračunskih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38.095,12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37.980,48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</w:t>
            </w:r>
          </w:p>
        </w:tc>
      </w:tr>
    </w:tbl>
    <w:p>
      <w:pPr>
        <w:spacing w:before="0" w:after="0"/>
      </w:pPr>
    </w:p>
    <w:p>
      <w:r>
        <w:t xml:space="preserve">Prihodi po posebnim propisima u razdoblju od 1. siječnja do 31. ožujka 2026. godine ostvareni su u iznosu od 37.980,48 €, odnosno 0,3% ili 114,64 € manje u odnosu na iste prihode ostvarene u promatranom razdoblju 2025. godine, a odnose se na prihode od participacije.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donacija od pravnih i fizičkih osoba izvan općeg proračuna te povrat donacija i kapitalnih pomoći po protestiranim jamstvima u razdoblju od 1. siječnja do 31. ožujka 2026. godine ostvareni su u iznosu od 200 € te nisu zabilježeni u istom razdoblju prethodne godine, a odnose se na tekuće donacije od ostalih subjekata izvan općeg proračuna.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132.773,66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162.569,86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proračunskih korisnika u razdoblju od 1. siječnja do 31. ožujka 2026. godine ostvareni su u iznosu od 162.569,86 €, odnosno 22,4% ili 29.796,20 € više u odnosu na iste prihode ostvarene u promatranom razdoblju 2025. godine. Na rast prihoda iz nadležnog proračuna za financiranje redovne djelatnosti proračunskih korisnika utjecalo je uvećanje prihoda iz nadležnog proračuna, odnosno Grada Zlatar za financiranje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230.850,78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198.628,94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</w:t>
            </w:r>
          </w:p>
        </w:tc>
      </w:tr>
    </w:tbl>
    <w:p>
      <w:pPr>
        <w:spacing w:before="0" w:after="0"/>
      </w:pPr>
    </w:p>
    <w:p>
      <w:r>
        <w:t xml:space="preserve">Rashodi poslovanja Dječjeg vrtića Zlatarsko zlato u razdoblju od 1. siječnja do 31. ožujka 2026. godine ostvareni su u iznosu od 198.628,94 €, odnosno 14% ili 32.221,84 € manje nego prethodne 2025. godine. Na smanjenje rashoda poslovanja su utjecali smanjenje rashoda za plaće zaposlenika, doprinosa na plaće, naknada troškova zaposlenima te smanjenje rashoda za materijal i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163.658,44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122.243,27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74,7</w:t>
            </w:r>
          </w:p>
        </w:tc>
      </w:tr>
    </w:tbl>
    <w:p>
      <w:pPr>
        <w:spacing w:before="0" w:after="0"/>
      </w:pPr>
    </w:p>
    <w:p>
      <w:r>
        <w:t xml:space="preserve">Rashodi za plaće zaposlenika u razdoblju od 1. siječnja do 31. ožujka 2026. godine ostvareni su u iznosu od 122.243,27 €, odnosno 25,3% ili 41.415,17 € manje u odnosu na rashode za plaće ostvarene u istom razdoblju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219,9</w:t>
            </w:r>
          </w:p>
        </w:tc>
      </w:tr>
    </w:tbl>
    <w:p>
      <w:pPr>
        <w:spacing w:before="0" w:after="0"/>
      </w:pPr>
    </w:p>
    <w:p>
      <w:r>
        <w:t xml:space="preserve">Ostali rashodi za zaposlene u razdoblju od 1. siječnja do 31. ožujka 2026. godine ostvareni su u iznosu od 4.265,76 €, odnosno 119,9% ili 2.325,76 € više u odnosu na ostale rashode za zaposlene ostvarene u istom razdoblju 2025. godine. Na rast u promatranom razdoblju je utjecalo uvećanje navedenih rashoda za zaposlene koji uključuju naknade za bolest te nagrade.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27.025,82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20.170,12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74,6</w:t>
            </w:r>
          </w:p>
        </w:tc>
      </w:tr>
    </w:tbl>
    <w:p>
      <w:pPr>
        <w:spacing w:before="0" w:after="0"/>
      </w:pPr>
    </w:p>
    <w:p>
      <w:r>
        <w:t xml:space="preserve">Doprinosi na plaće u razdoblju od 1. siječnja do 31. ožujka 2026. godine ostvareni su u iznosu od 20.170,12 €, odnosno 25,4 % ili 6.855,7 € manje u odnosu na doprinose ostvarene u istom razdoblju 2025. godine. Na pad u promatranom razdoblju je utjecalo smanjenje doprinosa za obvezno zdravstveno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7.324,49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70,4</w:t>
            </w:r>
          </w:p>
        </w:tc>
      </w:tr>
    </w:tbl>
    <w:p>
      <w:pPr>
        <w:spacing w:before="0" w:after="0"/>
      </w:pPr>
    </w:p>
    <w:p>
      <w:r>
        <w:t xml:space="preserve">Rashodi za naknade troškova zaposlenima u razdoblju od 1. siječnja do 31. ožujka 2026. godine ostvareni su u iznosu od 5.156,72 €, odnosno 29,6 % ili 2.167,77 € manje u odnosu na iste ostvarene u istom razdoblju 2025. godine. Na pad rashoda za naknadu troškova zaposlenima u promatranom razdoblju najvećim je dijelom utjecalo umanjenje rashoda za službena putovanja koji su ostvareni u iznosu od 135,50 €, odnosno 84,7% manje nego prethodne 2025. godine, umanjenje rashoda za naknade za prijevoz, za rad na terenu i odvojeni život koji su ostvareni u iznosu od 4.536,02 €, odnosno 15,2% manje nego prethodne godine te rashodi za stručno usavršavanje zaposlenika koji su manji za 55,5% nego u istom razdoblju prethodne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23.500,25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22.062,34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93,9</w:t>
            </w:r>
          </w:p>
        </w:tc>
      </w:tr>
    </w:tbl>
    <w:p>
      <w:pPr>
        <w:spacing w:before="0" w:after="0"/>
      </w:pPr>
    </w:p>
    <w:p>
      <w:r>
        <w:t xml:space="preserve">Rashodi za materijal i energiju u razdoblju od 1. siječnja do 31. ožujka 2026. godine ostvareni su u iznosu od 22.062,34 €, odnosno 6,1 % ili 1.437,91 € manje u odnosu na iste rashode ostvarene u promatranom razdoblju 2025. godine. Na pad rashoda za materijal i energiju utjecalo je umanjenje rashoda za uredski materijal i ostale materijalne rashode koji su ostvareni za 3,9 %, odnosno 171,58 € manje u odnosu na ostvarenje u istom razdoblju 2025. godine, zatim umanjenje rashoda za energiju koji su ostvareni za 32,1%, odnosno 1.649,14 € manje u odnosu na ostvarenje u istom razdoblju 2025. godine te umanjenje rashoda za materijal i dijelove za tekuće i investicijsko održavanje koji su ostvareni za 57,2%, odnosno 90,38 € manje nego u promatranom razdoblju prošle godinu. Rashodi za materijal i sirovine ostvareni su za 2,2% ili 299,09 € više u odnosu na prethodnu godinu, rashodi za sitni inventar i autogume ostvareni su za 173,8% ili 144,1 € više nego 2025. godine u promatranom razdoblju te rashodi za službenu, radnu i zaštitnu odjeći u obuću ostvareni su u iznosu od 30,00 € te nisu zabilježeni u istom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6.438,29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22.515,54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349,7</w:t>
            </w:r>
          </w:p>
        </w:tc>
      </w:tr>
    </w:tbl>
    <w:p>
      <w:pPr>
        <w:spacing w:before="0" w:after="0"/>
      </w:pPr>
    </w:p>
    <w:p>
      <w:r>
        <w:t xml:space="preserve">Rashodi za usluge u razdoblju od 1. siječnja do 31. ožujka 2026. godine ostvareni su u iznosu od 22.515,54 €, odnosno 249,7% ili 16.077,25 € više u odnosu na iste rashode ostvarene u promatranom razdoblju 2025. godine. Na rast rashoda za usluge utjecalo je uvećanje rashoda za usluge tekućeg i investicijskog održavanja koji su ostvareni za 26,1% ili 538,24 € više u odnosu na ostvarenje u istom razdoblju 2025. godine, povećanje rashoda za usluge promidžbe i informiranja koji su ostvareni za 135,4% ili 86,28 € više u odnosu na ostvarenje u istom razdoblju 2025. godine, rast rashoda za zdravstvene i veterinarske usluge koji su ostvareni za 24,5%, odnosno 116,4 € više nego u promatranom razdoblju prošle godine kao i uvećanje rashoda za intelektualne i osobne usluge koji su ostvareni za 2254,1% ili 15.271,35 € više nego u promatranom razdoblju 2025. godine te rast rashoda za računalne usluge koji su ostvareni za 21,4% ili 365,49 € više nego u promatranom razdoblju prethodne godine. Rashodi za usluge telefona, interneta, pošte i prijevoza manji su za 42,6% nego prethodne godine te rashodi za komunalne usluge također bilježe smanjenje, odnosno manji su za 14,3%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236,6</w:t>
            </w:r>
          </w:p>
        </w:tc>
      </w:tr>
    </w:tbl>
    <w:p>
      <w:pPr>
        <w:spacing w:before="0" w:after="0"/>
      </w:pPr>
    </w:p>
    <w:p>
      <w:r>
        <w:t xml:space="preserve">Ostali nespomenuti rashodi poslovanja u razdoblju od 1. siječnja do 31. ožujka 2026. godine ostvareni su u iznosu od 1.865,65 €, odnosno 136,6% ili 1.077,03 € više u odnosu na iste rashode ostvarene u promatranom razdoblju 2025. godine. Na povećanje tih rashoda je utjecalo povećanje rashoda za premije osiguranja koji su ostvareni za 75,8% ili 196,12 € više u odnosu na isto razdoblje prethodne godine, povećanje rashoda za pristojbe i naknade koji su ostvareni za 16,8% ili 89,31 € više u odnosu na ostvarenje u istom razdoblju 2025. godine dok su ostali nespomenuti rashodi poslovanja ostvareni u iznosu od 791,60 € te nisu zabilježeni u istom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199,9</w:t>
            </w:r>
          </w:p>
        </w:tc>
      </w:tr>
    </w:tbl>
    <w:p>
      <w:pPr>
        <w:spacing w:before="0" w:after="0"/>
      </w:pPr>
    </w:p>
    <w:p>
      <w:r>
        <w:t xml:space="preserve">Ostali financijski rashodi u razdoblju od 1. siječnja do 31. ožujka 2026. godine ostvareni su u iznosu od 349,54 €, odnosno 99,9 % ili 174,67 € više u odnosu na iste rashode ostvarene u promatranom razdoblju 2026. godine. Na povećanje tih rashoda utjecalo je povećanje rashoda bankarske usluge i usluge platnog prometa.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b5a5fdf257406c" /></Relationships>
</file>