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4"/>
        <w:gridCol w:w="7105"/>
      </w:tblGrid>
      <w:tr>
        <w:trPr/>
        <w:tc>
          <w:tcPr>
            <w:tcW w:w="1894" w:type="dxa"/>
            <w:tcBorders/>
            <w:shd w:color="auto" w:fill="E7F0F9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</w:rPr>
              <w:t>RKP broj</w:t>
            </w:r>
          </w:p>
        </w:tc>
        <w:tc>
          <w:tcPr>
            <w:tcW w:w="7105" w:type="dxa"/>
            <w:tcBorders/>
            <w:shd w:color="auto" w:fill="E7F0F9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/>
              <w:t>37742</w:t>
            </w:r>
          </w:p>
        </w:tc>
      </w:tr>
      <w:tr>
        <w:trPr/>
        <w:tc>
          <w:tcPr>
            <w:tcW w:w="1894" w:type="dxa"/>
            <w:tcBorders/>
            <w:shd w:color="auto" w:fill="E7F0F9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</w:rPr>
              <w:t>Naziv obveznika</w:t>
            </w:r>
          </w:p>
        </w:tc>
        <w:tc>
          <w:tcPr>
            <w:tcW w:w="7105" w:type="dxa"/>
            <w:tcBorders/>
            <w:shd w:color="auto" w:fill="E7F0F9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/>
              <w:t>DJEČJI VRTIĆ I JASLICE ZLATARSKO ZLATO</w:t>
            </w:r>
          </w:p>
        </w:tc>
      </w:tr>
      <w:tr>
        <w:trPr/>
        <w:tc>
          <w:tcPr>
            <w:tcW w:w="1894" w:type="dxa"/>
            <w:tcBorders/>
            <w:shd w:color="auto" w:fill="E7F0F9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</w:rPr>
              <w:t>Razina</w:t>
            </w:r>
          </w:p>
        </w:tc>
        <w:tc>
          <w:tcPr>
            <w:tcW w:w="7105" w:type="dxa"/>
            <w:tcBorders/>
            <w:shd w:color="auto" w:fill="E7F0F9" w:val="clear"/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/>
              <w:t>21</w:t>
            </w:r>
          </w:p>
        </w:tc>
      </w:tr>
    </w:tbl>
    <w:p>
      <w:pPr>
        <w:pStyle w:val="Normal"/>
        <w:bidi w:val="0"/>
        <w:jc w:val="left"/>
        <w:rPr/>
      </w:pPr>
      <w:r>
        <w:rPr/>
        <w:br/>
      </w:r>
    </w:p>
    <w:p>
      <w:pPr>
        <w:pStyle w:val="Normal"/>
        <w:bidi w:val="0"/>
        <w:spacing w:lineRule="auto" w:line="240"/>
        <w:jc w:val="center"/>
        <w:rPr/>
      </w:pPr>
      <w:r>
        <w:rPr>
          <w:b/>
          <w:sz w:val="28"/>
        </w:rPr>
        <w:t>BILJEŠKE UZ FINANCIJSKE IZVJEŠTAJE</w:t>
      </w:r>
    </w:p>
    <w:p>
      <w:pPr>
        <w:pStyle w:val="Normal"/>
        <w:bidi w:val="0"/>
        <w:spacing w:lineRule="auto" w:line="240"/>
        <w:jc w:val="center"/>
        <w:rPr/>
      </w:pPr>
      <w:r>
        <w:rPr>
          <w:b/>
          <w:sz w:val="28"/>
        </w:rPr>
        <w:t>ZA RAZDOBLJE</w:t>
      </w:r>
    </w:p>
    <w:p>
      <w:pPr>
        <w:pStyle w:val="Normal"/>
        <w:bidi w:val="0"/>
        <w:spacing w:lineRule="auto" w:line="240"/>
        <w:jc w:val="center"/>
        <w:rPr/>
      </w:pPr>
      <w:r>
        <w:rPr>
          <w:b/>
          <w:sz w:val="28"/>
        </w:rPr>
        <w:t>I - VI 2026.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b/>
          <w:sz w:val="28"/>
        </w:rPr>
        <w:t>Izvještaj o prihodima i rashodima, primicima i izdacima</w:t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357.071,17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393.189,47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110,1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412.774,02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403.987,03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97,9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18"/>
              </w:rPr>
            </w:pPr>
            <w:r>
              <w:rPr/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55.702,85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10.797,56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19,4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7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4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18"/>
              </w:rPr>
            </w:pPr>
            <w:r>
              <w:rPr/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-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8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5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18"/>
              </w:rPr>
            </w:pPr>
            <w:r>
              <w:rPr/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-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18"/>
              </w:rPr>
            </w:pPr>
            <w:r>
              <w:rPr/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55.702,85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10.797,56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b/>
                <w:sz w:val="18"/>
              </w:rPr>
              <w:t>19,4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Ukupni prihodi Dječjeg vrtića Zlatarsko zlato ostvareni u razdoblju od 1. siječnja od 30. lipnja 2026. godine iznosili su 393.189,47 €, odnosno 10,1% ili 36.118,3 € više nego prethodne 2025. godine. Na rast prihoda u promatranom razdoblju utjecalo je povećanje prihoda iz nadležnog proračuna za financiranje redovne djelatnosti proračunskih korisnika te ostvarenje prihoda od prodaje proizvoda i robe te pruženih usluga, prihoda od donacija te povrata po protestiranim jamstvima i prihoda od pomoći iz inozemstva i od subjekata unutar općeg proračuna koji nisu evidentirani u promatranom razdoblju prethodne godine. Prihodi od upravnih i administrativnih pristojbi, pristojbi po posebnim propisima i naknadama su se smanjili u odnosu na prethodnu godinu. Ukupni rashodi su iznosili 403.987,03 € što je za 2,1 % ili 8.786,99 € manje rashoda nego prošle godine. Rashodi poslovanja su se smanjili, a na to su utjecali smanjenje rashoda za plaće zaposlenika, ostalih rashoda za zaposlene, doprinosa na plaće i naknada troškova zaposlenima, dok ostali financijski rashodi, ostali nespomenuti rashodi poslovanja, rashodi za usluge te rashodi za materijal i energiju bilježe povećanje u odnosu na prethodnu godinu. Ostvaren je manjak prihoda u iznosu od 10.797,56 €. Manjak prihoda iz prethodnog razdoblja iznosi 43.358,46 €, tako da se u sljedeće razdoblje prenosi manjak u iznosu od 54.156,02 €.</w:t>
      </w:r>
    </w:p>
    <w:p>
      <w:pPr>
        <w:pStyle w:val="Normal"/>
        <w:bidi w:val="0"/>
        <w:jc w:val="left"/>
        <w:rPr/>
      </w:pPr>
      <w:r>
        <w:rPr/>
        <w:b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2.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357.071,17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393.189,47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110,1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Prihodi poslovanja Dječjeg vrtića Zlatarsko zlato ostvareni u razdoblju od 1. siječnja od 30. lipnja 2026. godine iznosili su 393.189,47 €, odnosno 10,1% više nego prethodne 2025. godine. Na rast prihoda u promatranom razdoblju utjecalo je povećanje prihoda iz nadležnog proračuna za financiranje redovne djelatnosti proračunskih korisnika te ostvarenje prihoda od prodaje proizvoda i robe te pruženih usluga, prihoda od donacija te povrata po protestiranim jamstvima i prihoda od pomoći iz inozemstva i od subjekata unutar općeg proračuna koji nisu evidentirani u promatranom razdoblju prethodne godine. Prihodi od upravnih i administrativnih pristojbi, pristojbi po posebnim propisima i naknadama su se smanjili u odnosu na prethodnu godinu.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3.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636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1.345,80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Prihodi od pomoći proračunskim korisnicima iz proračuna koji im nije nadležan u razdoblju od 1. siječnja do 30. lipnja 2026. godine ostvareni su u iznosu od 1.345,80 € te nisu evidentirani u istom razdoblju prethodne godine, a odnose se na tekuće pomoći iz državnog proračuna.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4.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652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Prihodi po posebnim propisima (šifre 6521 do 6528)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652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77.465,60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76.213,72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98,4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Prihodi po posebnim propisima u razdoblju od 1. siječnja do 30. lipnja 2026. godine ostvareni su u iznosu od 76.213,72 €, odnosno 1,6% ili 1.251,88 € manje u odnosu na iste prihode ostvarene u promatranom razdoblju 2025. godine, a odnose se na prihode od participacije.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5.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663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0,00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320,00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Prihodi od donacija od pravnih i fizičkih osoba izvan općeg proračuna te povrat donacija i kapitalnih pomoći po protestiranim jamstvima u razdoblju od 1. siječnja do 30. lipnja 2026. godine ostvareni su u iznosu od 320,00 € te nisu bili evidentirani u istom razdoblju prethodne godine, a odnose se na tekuće donacije od ostalih subjekata izvan općeg proračuna.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6.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671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279.605,57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315.309,95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112,8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Prihodi iz nadležnog proračuna za financiranje redovne djelatnosti proračunskih korisnika u razdoblju od 1. siječnja do 30. lipnja 2026. godine ostvareni su u iznosu od 315.309,95 €, odnosno 12,8% ili 35.704,38 € više u odnosu na iste prihode ostvarene u promatranom razdoblju 2025. godine. Na rast prihoda iz nadležnog proračuna za financiranje redovne djelatnosti proračunskih korisnika utjecalo je uvećanje prihoda iz nadležnog proračuna, odnosno Grada Zlatar za financiranje rashoda poslovanja.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7.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412.774,02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403.987,03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97,9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Rashodi poslovanja Dječjeg vrtića Zlatarsko zlato u razdoblju od 1. siječnja do 30. lipnja 2026. godine ostvareni su u iznosu od 403.987,03 €, odnosno 2,1% ili 8.786,99 € manje nego prethodne 2025. godine. Na smanjenje rashoda poslovanja su utjecali smanjenje rashoda za plaće zaposlenika, ostalih rashoda za zaposlene, doprinosa na plaće i naknada troškova zaposlenima, dok ostali financijski rashodi, ostali nespomenuti rashodi poslovanja, rashodi za usluge te rashodi za materijal i energiju bilježe povećanje u odnosu na prethodnu godinu.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8.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311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281.939,87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256.028,40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90,8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Rashodi za plaće zaposlenika u razdoblju od 1. siječnja do 30. lipnja 2026. godine ostvareni su u iznosu od 256.028,40 €, odnosno 9,2% ili 25.911,47 € manje u odnosu na rashode za plaće ostvarene u istom razdoblju 2025. godine.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9.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312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16.068,38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10.740,76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66,8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Ostali rashodi za zaposlene u razdoblju od 1. siječnja do 30. lipnja 2026. godine ostvareni su u iznosu od 10.740,76 €, odnosno 33,2% ili 5.327,62 € manje u odnosu na ostale rashode za zaposlene ostvarene u istom razdoblju 2025. godine. Na smanjenje u promatranom razdoblju je utjecalo smanjenje navedenih rashoda za zaposlene koji uključuju naknade za bolest, nagrade te regres za godišnji odmor.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10.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313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46.559,15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42.244,54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90,7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Doprinosi na plaće u razdoblju od 1. siječnja do 30. lipnja 2026. godine ostvareni su u iznosu od 42.244,54 €, odnosno 9,3 % ili 4.314,61 € manje u odnosu na doprinose ostvarene u istom razdoblju 2025. godine. Na pad u promatranom razdoblju je utjecalo smanjenje doprinosa za obvezno zdravstveno osiguranje.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11.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321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11.362,91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11.038,16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97,1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Rashodi za naknade troškova zaposlenima u razdoblju od 1. siječnja do 30. lipnja 2026. godine ostvareni su u iznosu od 11.038,16 €, odnosno 2,9 % ili 324,75 € manje u odnosu na iste ostvarene u istom razdoblju 2025. godine. Na pad rashoda za naknadu troškova zaposlenima u promatranom razdoblju najvećim je dijelom utjecalo umanjenje rashoda za stručno usavršavanje zaposlenika koji su ostvareni u iznosu od 534,20 €, odnosno 64,1 % manje nego prethodne 2025. godine. Rashodi za službena putovanja ostvareni su za 43,1% ili 404,61 € više nego u istom razdoblju prethodne godine kao i rashodi za naknade za prijevoz, za rad na terenu i odvojeni život koji su ostvareni za 2,5% ili 224,48 € više nego prethodne godine.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12.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322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41.056,29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43.489,49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105,9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Rashodi za materijal i energiju u razdoblju od 1. siječnja do 30. lipnja 2026. godine ostvareni su u iznosu od 43.489,49 €, odnosno 5,9 % ili 2.433,20 € više u odnosu na iste rashode ostvarene u promatranom razdoblju 2025. godine. Na rast rashoda za materijal i energiju utjecalo je povećanje rashoda za uredski materijal i ostale materijalne rashode koji su ostvareni za 24,6 %, odnosno 1.570,46 € više u odnosu na ostvarenje u istom razdoblju 2025. godine, zatim povećanje rashoda za materijal i sirovine koji su ostvareni za 3%, odnosno 810,07 € više u odnosu na ostvarenje u istom razdoblju 2025. godine te povećanje rashoda za sitni inventar koji su ostvareni za 173,8%, odnosno 144,1 € više nego u promatranom razdoblju prošle godine. Rashodi za energiju ostvareni su za 13,2 % ili 972,6 € manje u odnosu na prethodnu godinu, rashodi za materijal i dijelove za tekuće i investicijsko održavanje ostvareni su za 21,5% ili 40,58 € manje nego 2025. godine u promatranom razdoblju. Rashodi za službenu, radnu i zaštitnu odjeći u obuću ostvareni su u iznosu od 921,75 € te nisu zabilježeni u istom razdoblju prethodne godine.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13.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13.336,60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36.374,15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272,7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Rashodi za usluge u razdoblju od 1. siječnja do 30. lipnja 2026. godine ostvareni su u iznosu od 36.374,15 €, odnosno 172,7% ili 23.037,55 € više u odnosu na iste rashode ostvarene u promatranom razdoblju 2025. godine. Na rast rashoda za usluge utjecalo je uvećanje rashoda za usluge promidžbe i informiranja koji su ostvareni za 135,4% ili 172,56 € više u odnosu na ostvarenje u istom razdoblju 2025. godine, povećanje rashoda za komunalne usluge koji su ostvareni za 2,8% ili 71,55 € više u odnosu na ostvarenje u istom razdoblju 2025. godine, rast rashoda za intelektualne i osobne usluge koji su ostvareni za 2.045,2%, odnosno 23.673,3 € više nego u promatranom razdoblju prošle godine kao i uvećanje rashoda za računalne usluge koji su ostvareni za 17,7% ili 606,42 € više nego u promatranom razdoblju 2025. godine. Rashodi za usluge telefona, interneta, pošte i prijevoza ostvareni su za 10,1% ili 65,35 € manje nego prethodne godine, rashodi za usluge tekućeg i investicijskog održavanja ostvareni su za 18,8% ili 708,18 € manje kao i rashodi za zdravstvene i veterinarske usluge koji su ostvareni za 17,7% ili 212,75 € manje nego u istom razdoblju prethodne godine.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14.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329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1.932,93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3.334,69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172,5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Ostali nespomenuti rashodi poslovanja u razdoblju od 1. siječnja do 30. lipnja 2026. godine ostvareni su u iznosu od 3.334,69 €, odnosno 72,5% ili 1.401,76 € više u odnosu na iste rashode ostvarene u promatranom razdoblju 2025. godine. Na povećanje tih rashoda je utjecalo povećanje rashoda za premije osiguranja koji su ostvareni za 20,3% ili 196,12 € više u odnosu na isto razdoblje prethodne godine, povećanje rashoda za pristojbe i naknade koji su ostvareni za 13,1% ili 120,32 € više u odnosu na ostvarenje u istom razdoblju 2025. godine te ostali nespomenuti rashodi poslovanja koji su ostvareni u iznosu od 1.135,32 € te su veći za 1170,6% ili 1.085,32 € više nego u istom razdoblju prethodne godine.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15.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0"/>
        <w:gridCol w:w="3179"/>
        <w:gridCol w:w="701"/>
        <w:gridCol w:w="1860"/>
        <w:gridCol w:w="1859"/>
        <w:gridCol w:w="700"/>
      </w:tblGrid>
      <w:tr>
        <w:trPr>
          <w:cantSplit w:val="true"/>
        </w:trPr>
        <w:tc>
          <w:tcPr>
            <w:tcW w:w="700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7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1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59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700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343</w:t>
            </w:r>
          </w:p>
        </w:tc>
        <w:tc>
          <w:tcPr>
            <w:tcW w:w="317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Ostali financijski rashodi (šifre 3431 do 3434)</w:t>
            </w:r>
          </w:p>
        </w:tc>
        <w:tc>
          <w:tcPr>
            <w:tcW w:w="701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343</w:t>
            </w:r>
          </w:p>
        </w:tc>
        <w:tc>
          <w:tcPr>
            <w:tcW w:w="186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517,89</w:t>
            </w:r>
          </w:p>
        </w:tc>
        <w:tc>
          <w:tcPr>
            <w:tcW w:w="1859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736,84</w:t>
            </w:r>
          </w:p>
        </w:tc>
        <w:tc>
          <w:tcPr>
            <w:tcW w:w="700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142,3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Ostali financijski rashodi u razdoblju od 1. siječnja do 30. lipnja 2026. godine ostvareni su u iznosu od 736,84 €, odnosno 42,3 % ili 218,95 € više u odnosu na iste rashode ostvarene u promatranom razdoblju 2025. godine. Na povećanje tih rashoda utjecalo je povećanje rashoda bankarske usluge i usluge platnog prometa.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b/>
          <w:sz w:val="28"/>
        </w:rPr>
        <w:t>Izvještaj o obvezama</w:t>
      </w:r>
    </w:p>
    <w:p>
      <w:pPr>
        <w:pStyle w:val="Normal"/>
        <w:keepNext w:val="true"/>
        <w:bidi w:val="0"/>
        <w:spacing w:lineRule="auto" w:line="240"/>
        <w:jc w:val="center"/>
        <w:rPr/>
      </w:pPr>
      <w:r>
        <w:rPr>
          <w:sz w:val="28"/>
        </w:rPr>
        <w:t>Bilješka 16.</w:t>
      </w:r>
    </w:p>
    <w:tbl>
      <w:tblPr>
        <w:tblW w:w="90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882"/>
        <w:gridCol w:w="4008"/>
        <w:gridCol w:w="883"/>
        <w:gridCol w:w="2345"/>
        <w:gridCol w:w="882"/>
      </w:tblGrid>
      <w:tr>
        <w:trPr>
          <w:cantSplit w:val="true"/>
        </w:trPr>
        <w:tc>
          <w:tcPr>
            <w:tcW w:w="882" w:type="dxa"/>
            <w:tcBorders>
              <w:top w:val="single" w:sz="12" w:space="0" w:color="BABABA"/>
              <w:left w:val="single" w:sz="12" w:space="0" w:color="BABAB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4008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883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2345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8" w:space="0" w:color="DADAD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882" w:type="dxa"/>
            <w:tcBorders>
              <w:top w:val="single" w:sz="12" w:space="0" w:color="BABABA"/>
              <w:left w:val="single" w:sz="8" w:space="0" w:color="DADADA"/>
              <w:bottom w:val="single" w:sz="8" w:space="0" w:color="BABABA"/>
              <w:right w:val="single" w:sz="12" w:space="0" w:color="BABABA"/>
            </w:tcBorders>
            <w:shd w:color="auto" w:fill="E7F0F9" w:val="clear"/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sz w:val="18"/>
              </w:rPr>
              <w:t>Indeks (%)</w:t>
            </w:r>
          </w:p>
        </w:tc>
      </w:tr>
      <w:tr>
        <w:trPr>
          <w:trHeight w:val="560" w:hRule="atLeast"/>
          <w:cantSplit w:val="true"/>
        </w:trPr>
        <w:tc>
          <w:tcPr>
            <w:tcW w:w="882" w:type="dxa"/>
            <w:tcBorders>
              <w:top w:val="single" w:sz="8" w:space="0" w:color="BABABA"/>
              <w:left w:val="single" w:sz="12" w:space="0" w:color="BABAB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08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Povećanje obveza u izvještajnom razdoblju (šifre V003+N23+N24 + 'N dio 25,26'+N27)</w:t>
            </w:r>
          </w:p>
        </w:tc>
        <w:tc>
          <w:tcPr>
            <w:tcW w:w="883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sz w:val="18"/>
              </w:rPr>
              <w:t>V002</w:t>
            </w:r>
          </w:p>
        </w:tc>
        <w:tc>
          <w:tcPr>
            <w:tcW w:w="2345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8" w:space="0" w:color="DADAD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454.922,73</w:t>
            </w:r>
          </w:p>
        </w:tc>
        <w:tc>
          <w:tcPr>
            <w:tcW w:w="882" w:type="dxa"/>
            <w:tcBorders>
              <w:top w:val="single" w:sz="8" w:space="0" w:color="BABABA"/>
              <w:left w:val="single" w:sz="8" w:space="0" w:color="DADADA"/>
              <w:bottom w:val="single" w:sz="12" w:space="0" w:color="BABABA"/>
              <w:right w:val="single" w:sz="12" w:space="0" w:color="BABABA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bidi w:val="0"/>
              <w:spacing w:lineRule="auto" w:line="240" w:before="0" w:after="0"/>
              <w:jc w:val="right"/>
              <w:rPr/>
            </w:pPr>
            <w:r>
              <w:rPr>
                <w:sz w:val="18"/>
              </w:rPr>
              <w:t>-</w:t>
            </w:r>
          </w:p>
        </w:tc>
      </w:tr>
    </w:tbl>
    <w:p>
      <w:pPr>
        <w:pStyle w:val="Normal"/>
        <w:bidi w:val="0"/>
        <w:spacing w:before="0" w:after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Povećanje obveza u izvještajnom razdoblju iznosi 454.922,73 €, a isto se sastoji od obveza za rashode poslovanja te obveza za predujmove, depozite, jamčevne pologe i tuđe prihode te uvećano za početno stanje 01.01.2026. godine u iznosu od 55.727,09 € čini ukupno 510.649,82 € obveza. U izvještajnom razdoblju podmirene su obveze u ukupnom iznosu od 429.757,58 € te na kraju izvještajnog razdoblja tj. sa 30.06.2026. godine stanje obveza iznosi 80.892,24 €. Dospjeli obveza na kraju izvještajnog razdoblja nema dok stanje nedospjelih obveza na kraju izvještajnog razdoblja iznosi 80.892,24 €, a odnose se na obveze za rashode poslovanja i obveza za predujmove, depozite, jamčevne pologe i tuđe prihode.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</w:pPr>
    <w:rPr>
      <w:rFonts w:ascii="Times New Roman" w:hAnsi="Times New Roman" w:eastAsia="NSimSun" w:cs="Lucida Sans"/>
      <w:color w:val="auto"/>
      <w:kern w:val="0"/>
      <w:sz w:val="24"/>
      <w:szCs w:val="20"/>
      <w:lang w:val="hr-HR" w:eastAsia="zh-CN" w:bidi="hi-IN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LibreOffice/7.2.4.1$Windows_X86_64 LibreOffice_project/27d75539669ac387bb498e35313b970b7fe9c4f9</Application>
  <AppVersion>15.0000</AppVersion>
  <Pages>6</Pages>
  <Words>2247</Words>
  <Characters>12448</Characters>
  <CharactersWithSpaces>14415</CharactersWithSpaces>
  <Paragraphs>284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hr-HR</dc:language>
  <cp:lastModifiedBy/>
  <cp:lastPrinted>2026-07-08T13:01:06Z</cp:lastPrinted>
  <cp:revision>0</cp:revision>
  <dc:subject/>
  <dc:title/>
</cp:coreProperties>
</file>